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03" w:rsidRDefault="009B57F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Микрозайм</w:t>
      </w:r>
      <w:proofErr w:type="spellEnd"/>
      <w:r>
        <w:rPr>
          <w:rFonts w:ascii="Times New Roman" w:hAnsi="Times New Roman"/>
          <w:b/>
          <w:sz w:val="28"/>
        </w:rPr>
        <w:t xml:space="preserve"> для субъектов малого и среднего предпринимательства, организаций, образующих инфраструктуру поддержки малого и среднего предпринимательства, пострадавших в результате чрезвычайной ситуации «</w:t>
      </w:r>
      <w:proofErr w:type="gramStart"/>
      <w:r>
        <w:rPr>
          <w:rFonts w:ascii="Times New Roman" w:hAnsi="Times New Roman"/>
          <w:b/>
          <w:sz w:val="28"/>
        </w:rPr>
        <w:t>Специальный</w:t>
      </w:r>
      <w:proofErr w:type="gramEnd"/>
      <w:r>
        <w:rPr>
          <w:rFonts w:ascii="Times New Roman" w:hAnsi="Times New Roman"/>
          <w:b/>
          <w:sz w:val="28"/>
        </w:rPr>
        <w:t xml:space="preserve"> (ЧС)»</w:t>
      </w:r>
    </w:p>
    <w:p w:rsidR="00B07E03" w:rsidRDefault="00B07E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B07E03" w:rsidRDefault="009B57F4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 Основным и обязательным </w:t>
      </w:r>
      <w:r>
        <w:rPr>
          <w:rFonts w:ascii="Times New Roman" w:hAnsi="Times New Roman"/>
          <w:sz w:val="28"/>
        </w:rPr>
        <w:t xml:space="preserve">условием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является наличие правового акта уполномоченного органа (должностного лица) о введении режима чрезвычайной ситуации на территории Краснодарского края или на территориях муниципальных образований Краснодарского края с опред</w:t>
      </w:r>
      <w:r>
        <w:rPr>
          <w:rFonts w:ascii="Times New Roman" w:hAnsi="Times New Roman"/>
          <w:sz w:val="28"/>
        </w:rPr>
        <w:t xml:space="preserve">елением фактических границ зоны чрезвычайной ситуации, соответствующие критериям нуждаемости в </w:t>
      </w:r>
      <w:proofErr w:type="spellStart"/>
      <w:r>
        <w:rPr>
          <w:rFonts w:ascii="Times New Roman" w:hAnsi="Times New Roman"/>
          <w:sz w:val="28"/>
        </w:rPr>
        <w:t>микрозайме</w:t>
      </w:r>
      <w:proofErr w:type="spellEnd"/>
      <w:r>
        <w:rPr>
          <w:rFonts w:ascii="Times New Roman" w:hAnsi="Times New Roman"/>
          <w:sz w:val="28"/>
        </w:rPr>
        <w:t>,   установленным  Методикой оценки кредитоспособности.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Условия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</w:t>
      </w:r>
      <w:r>
        <w:rPr>
          <w:rFonts w:ascii="TimesNewRomanPSMT" w:hAnsi="TimesNewRomanPSMT"/>
          <w:sz w:val="28"/>
          <w:szCs w:val="28"/>
        </w:rPr>
        <w:t>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пострадавших в результате чрезвычайной ситуации:</w:t>
      </w:r>
    </w:p>
    <w:p w:rsidR="00B07E03" w:rsidRDefault="009B57F4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8.1.1. На момент обращения с Заявлением Заявителю: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</w:t>
      </w:r>
      <w:r>
        <w:rPr>
          <w:rFonts w:ascii="Times New Roman" w:hAnsi="Times New Roman"/>
          <w:sz w:val="28"/>
        </w:rPr>
        <w:t>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лица, главы крестьянского (фермерског</w:t>
      </w:r>
      <w:r>
        <w:rPr>
          <w:rFonts w:ascii="Times New Roman" w:hAnsi="Times New Roman"/>
          <w:sz w:val="28"/>
        </w:rPr>
        <w:t>о) хозяйства (поставленным на учет в налоговом органе на территории Краснодарского края);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обязан</w:t>
      </w:r>
      <w:proofErr w:type="gramEnd"/>
      <w:r>
        <w:rPr>
          <w:rFonts w:ascii="Times New Roman" w:hAnsi="Times New Roman"/>
          <w:sz w:val="28"/>
        </w:rPr>
        <w:t xml:space="preserve"> осуществлять предпринимательскую (хозяйственную) деятельность сроком не менее 1 (одного) месяца по состоянию на дату подачи (регистрации) Заявления;</w:t>
      </w:r>
    </w:p>
    <w:p w:rsidR="00B07E03" w:rsidRDefault="009B57F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</w:t>
      </w:r>
      <w:r>
        <w:rPr>
          <w:rFonts w:ascii="Times New Roman" w:hAnsi="Times New Roman"/>
          <w:sz w:val="28"/>
        </w:rPr>
        <w:t>ель, поставленный на учет в налоговом органе Краснодарского края в связи с изменением места нахождения и осуществляющий предпринимательскую (хозяйственную) деятельность на территории Краснодарского края от 1 (одного) месяца до 6 (шести) месяцев, должен пре</w:t>
      </w:r>
      <w:r>
        <w:rPr>
          <w:rFonts w:ascii="Times New Roman" w:hAnsi="Times New Roman"/>
          <w:sz w:val="28"/>
        </w:rPr>
        <w:t>доставить Бизнес-план по форме, утвержденной Фондом.</w:t>
      </w:r>
    </w:p>
    <w:p w:rsidR="00B07E03" w:rsidRDefault="009B57F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8.1.2. Для получения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субъект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организация,</w:t>
      </w:r>
      <w:r>
        <w:rPr>
          <w:rFonts w:ascii="TimesNewRomanPSMT" w:hAnsi="TimesNewRomanPSMT"/>
          <w:sz w:val="28"/>
          <w:szCs w:val="28"/>
        </w:rPr>
        <w:t xml:space="preserve"> образующая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должны вести деятельность непосредственно на дату введения режима чрезвычайной ситуации в границах установленной зоны чрезвычайной ситуа</w:t>
      </w:r>
      <w:r>
        <w:rPr>
          <w:rFonts w:ascii="Times New Roman" w:hAnsi="Times New Roman"/>
          <w:sz w:val="28"/>
        </w:rPr>
        <w:t>ции, являться пострадавшими от данной чрезвычайной ситуации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t xml:space="preserve"> </w:t>
      </w:r>
      <w:r>
        <w:rPr>
          <w:rFonts w:ascii="Times New Roman" w:hAnsi="Times New Roman"/>
          <w:sz w:val="28"/>
        </w:rPr>
        <w:t xml:space="preserve">соответствовать критериям нуждаемости в </w:t>
      </w:r>
      <w:proofErr w:type="spellStart"/>
      <w:r>
        <w:rPr>
          <w:rFonts w:ascii="Times New Roman" w:hAnsi="Times New Roman"/>
          <w:sz w:val="28"/>
        </w:rPr>
        <w:t>микрозайме</w:t>
      </w:r>
      <w:proofErr w:type="spellEnd"/>
      <w:r>
        <w:rPr>
          <w:rFonts w:ascii="Times New Roman" w:hAnsi="Times New Roman"/>
          <w:sz w:val="28"/>
        </w:rPr>
        <w:t>, установленным Методикой оценки кредитоспособности;</w:t>
      </w:r>
      <w:proofErr w:type="gramEnd"/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 момента издания правового акта уполномоченного органа (должностного лица) о введении ре</w:t>
      </w:r>
      <w:r>
        <w:rPr>
          <w:rFonts w:ascii="Times New Roman" w:hAnsi="Times New Roman"/>
          <w:sz w:val="28"/>
        </w:rPr>
        <w:t xml:space="preserve">жима чрезвычайной ситуации на </w:t>
      </w:r>
      <w:r>
        <w:rPr>
          <w:rFonts w:ascii="Times New Roman" w:hAnsi="Times New Roman"/>
          <w:sz w:val="28"/>
        </w:rPr>
        <w:lastRenderedPageBreak/>
        <w:t xml:space="preserve">территории Краснодарского края с определением фактических границ зоны чрезвычайной ситуации до даты рассмотрения Комиссией по предоставлению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заявления на предоставление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прошло не более </w:t>
      </w:r>
      <w:r>
        <w:rPr>
          <w:rFonts w:ascii="Times New Roman" w:hAnsi="Times New Roman"/>
          <w:sz w:val="28"/>
        </w:rPr>
        <w:t xml:space="preserve"> 3 (трех) </w:t>
      </w:r>
      <w:r>
        <w:rPr>
          <w:rFonts w:ascii="Times New Roman" w:hAnsi="Times New Roman"/>
          <w:sz w:val="28"/>
        </w:rPr>
        <w:t>меся</w:t>
      </w:r>
      <w:r>
        <w:rPr>
          <w:rFonts w:ascii="Times New Roman" w:hAnsi="Times New Roman"/>
          <w:sz w:val="28"/>
        </w:rPr>
        <w:t>цев.</w:t>
      </w:r>
    </w:p>
    <w:p w:rsidR="00B07E03" w:rsidRDefault="009B57F4">
      <w:pPr>
        <w:ind w:firstLine="708"/>
        <w:jc w:val="both"/>
        <w:rPr>
          <w:strike/>
        </w:rPr>
      </w:pPr>
      <w:r>
        <w:rPr>
          <w:rFonts w:ascii="Times New Roman" w:hAnsi="Times New Roman"/>
          <w:sz w:val="28"/>
        </w:rPr>
        <w:t xml:space="preserve">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осуществляющие производство и (или) реализацию подакцизных товаров, относят</w:t>
      </w:r>
      <w:r>
        <w:rPr>
          <w:rFonts w:ascii="Times New Roman" w:hAnsi="Times New Roman"/>
          <w:sz w:val="28"/>
        </w:rPr>
        <w:t>ся к категории «Подакцизный».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8.5.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предоставляется   на цели: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Приобретение оборотных средств (материально-производственных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>, используемых для предприни</w:t>
      </w:r>
      <w:r>
        <w:rPr>
          <w:rFonts w:ascii="Times New Roman" w:hAnsi="Times New Roman"/>
          <w:sz w:val="28"/>
        </w:rPr>
        <w:t>мательской деятельности.</w:t>
      </w:r>
      <w:proofErr w:type="gramEnd"/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торгового и офисного оборудования;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кг, специальных и специализированных транспортных ср</w:t>
      </w:r>
      <w:r>
        <w:rPr>
          <w:rFonts w:ascii="Times New Roman" w:hAnsi="Times New Roman"/>
          <w:sz w:val="28"/>
        </w:rPr>
        <w:t xml:space="preserve">едств, прицепов и полуприцепов к ним для использования в предпринимательской деятельности, кроме легковых автомобилей, не относящихся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вышеперечисленным;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- сельскохозяйственной техники, машин и оборудования для производства, хранения, переработки и </w:t>
      </w:r>
      <w:r>
        <w:rPr>
          <w:rFonts w:ascii="Times New Roman" w:hAnsi="Times New Roman"/>
          <w:sz w:val="28"/>
        </w:rPr>
        <w:t>транспортировки сельскохозяйственной продукции (в т.ч. легковых и грузовых автомобилей с типом транспортного средства «фургон», легковых автомобилей грузоподъемностью от 1000 кг с типом транспортного средства «пикап», «бортовой»), а также для содержания, в</w:t>
      </w:r>
      <w:r>
        <w:rPr>
          <w:rFonts w:ascii="Times New Roman" w:hAnsi="Times New Roman"/>
          <w:sz w:val="28"/>
        </w:rPr>
        <w:t>ыращивания и переработки сельскохозяйственных животных;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летательных аппаратов (воздушного транспорта), внутреннего водного транспорта, морского транспорта для использования в предпринимательской деятельности;</w:t>
      </w:r>
    </w:p>
    <w:p w:rsidR="00B07E03" w:rsidRDefault="009B57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</w:t>
      </w:r>
      <w:r>
        <w:rPr>
          <w:rFonts w:ascii="Times New Roman" w:hAnsi="Times New Roman"/>
          <w:sz w:val="28"/>
        </w:rPr>
        <w:t xml:space="preserve"> в праве собственности на эти объекты недвижимого имущества) и сооружений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используемых для предпринимательской деятельности;</w:t>
      </w:r>
    </w:p>
    <w:p w:rsidR="00B07E03" w:rsidRDefault="009B57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 сельскохозяйственного назначения и земель с разрешенным использованием для строительства и/или эксплуатации объектов комм</w:t>
      </w:r>
      <w:r>
        <w:rPr>
          <w:rFonts w:ascii="Times New Roman" w:hAnsi="Times New Roman"/>
          <w:sz w:val="28"/>
        </w:rPr>
        <w:t xml:space="preserve">ерческого назначения (в том числе доли в праве собственности на вышеуказанные земельные участки); </w:t>
      </w:r>
    </w:p>
    <w:p w:rsidR="00B07E03" w:rsidRDefault="009B57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sz w:val="28"/>
        </w:rPr>
        <w:t xml:space="preserve">- и иных основных средств, используемых в предпринимательской деятельности. 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</w:t>
      </w:r>
      <w:r>
        <w:rPr>
          <w:rFonts w:ascii="Times New Roman" w:hAnsi="Times New Roman"/>
          <w:sz w:val="28"/>
        </w:rPr>
        <w:t>пользуемых для предпринимательской деятельности: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оплата работ и приобретение строительных материалов для строительства, ремонта и реконструкции нежилых помещений, зданий и сооружений, используемых для предпринимательской деятельности;</w:t>
      </w:r>
    </w:p>
    <w:p w:rsidR="00B07E03" w:rsidRDefault="009B57F4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- приобре</w:t>
      </w:r>
      <w:r>
        <w:rPr>
          <w:rFonts w:ascii="Times New Roman" w:hAnsi="Times New Roman"/>
          <w:sz w:val="28"/>
        </w:rPr>
        <w:t xml:space="preserve">тение материалов, необходимых для благоустройства прилегающей территории к нежилым помещениям, зданиям и сооружениям, используемым для предпринимательской деятельности и оплата услуг по благоустройству; </w:t>
      </w:r>
    </w:p>
    <w:p w:rsidR="00B07E03" w:rsidRDefault="009B57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оплата работ и приобретение материалов, </w:t>
      </w:r>
      <w:r>
        <w:rPr>
          <w:rFonts w:ascii="Times New Roman" w:hAnsi="Times New Roman"/>
          <w:sz w:val="28"/>
        </w:rPr>
        <w:t>необходимых для организации внешних и внутренних инженерных и инженерно-технических систем в нежилых помещениях, зданиях и сооружениях, используемых для предпринимательской деятельности.</w:t>
      </w:r>
    </w:p>
    <w:p w:rsidR="00B07E03" w:rsidRDefault="009B57F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Строительство, ремонт и реконструкция бассейнов, открытых кинотеатров</w:t>
      </w:r>
      <w:r>
        <w:rPr>
          <w:rFonts w:ascii="Times New Roman" w:hAnsi="Times New Roman"/>
          <w:color w:val="000000" w:themeColor="text1"/>
          <w:sz w:val="28"/>
        </w:rPr>
        <w:t>, спортивных и детских площадок, зон досуга и отдыха:</w:t>
      </w:r>
    </w:p>
    <w:p w:rsidR="00B07E03" w:rsidRDefault="009B57F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- оплата работ и приобретение строительных материалов для строительства, ремонта и реконструкции</w:t>
      </w:r>
      <w:r>
        <w:rPr>
          <w:rFonts w:ascii="Times New Roman" w:hAnsi="Times New Roman"/>
          <w:color w:val="000000" w:themeColor="text1"/>
          <w:sz w:val="28"/>
        </w:rPr>
        <w:t xml:space="preserve"> бассейнов, кинотеатров, спортивных и детских площадок, зон досуга и отдыха;</w:t>
      </w:r>
    </w:p>
    <w:p w:rsidR="00B07E03" w:rsidRDefault="009B57F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  приобретение оборудования</w:t>
      </w:r>
      <w:r>
        <w:rPr>
          <w:rFonts w:ascii="Times New Roman" w:hAnsi="Times New Roman"/>
          <w:color w:val="000000" w:themeColor="text1"/>
          <w:sz w:val="28"/>
        </w:rPr>
        <w:t xml:space="preserve"> и расходных материалов для бассейнов, кинотеатров, спортивных и детских площадок, зон досуга и отдыха;</w:t>
      </w:r>
    </w:p>
    <w:p w:rsidR="00B07E03" w:rsidRDefault="009B57F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приобретение материалов, необходимых для благоустройства территории бассейнов, открытых кинотеатров, спортивных и детских площадок, зон досуга и отдых</w:t>
      </w:r>
      <w:r>
        <w:rPr>
          <w:rFonts w:ascii="Times New Roman" w:hAnsi="Times New Roman"/>
          <w:color w:val="000000" w:themeColor="text1"/>
          <w:sz w:val="28"/>
        </w:rPr>
        <w:t>а, используемой для предпринимательской деятельности, а также оплата услуг по благоустройству.</w:t>
      </w:r>
    </w:p>
    <w:p w:rsidR="00B07E03" w:rsidRDefault="009B57F4">
      <w:pPr>
        <w:spacing w:before="200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Приобретение имущества, не являющегося амортизируемым имуществом, стоимость которого включается в состав материальных расходов в течение более одного </w:t>
      </w:r>
      <w:hyperlink r:id="rId4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</w:rPr>
        <w:t>, с учетом срока его использования или иных экономически обоснованных показа</w:t>
      </w:r>
      <w:r>
        <w:rPr>
          <w:rFonts w:ascii="Times New Roman" w:hAnsi="Times New Roman"/>
          <w:sz w:val="28"/>
        </w:rPr>
        <w:t>телей (подпункт 3 пункт 1 статьи 254 НК  РФ).</w:t>
      </w:r>
    </w:p>
    <w:p w:rsidR="00B07E03" w:rsidRDefault="009B57F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техники, оборудования и транспортных средств, используемых в производственном процессе.</w:t>
      </w:r>
    </w:p>
    <w:p w:rsidR="00B07E03" w:rsidRDefault="009B57F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Выплата заработной платы работникам  согласно штатному расписанию, действующему на дату подачи (ре</w:t>
      </w:r>
      <w:r>
        <w:rPr>
          <w:rFonts w:ascii="Times New Roman" w:hAnsi="Times New Roman"/>
          <w:color w:val="000000" w:themeColor="text1"/>
          <w:sz w:val="28"/>
        </w:rPr>
        <w:t>гистрации) Заявления.</w:t>
      </w:r>
    </w:p>
    <w:p w:rsidR="00B07E03" w:rsidRDefault="009B57F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Оплата арендных платежей по договору аренды недвижимости за период не более 3 месяцев.</w:t>
      </w:r>
    </w:p>
    <w:p w:rsidR="00B07E03" w:rsidRDefault="009B57F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Оплата коммунальных услуг за период не более 3 месяцев.</w:t>
      </w:r>
    </w:p>
    <w:p w:rsidR="00B07E03" w:rsidRDefault="009B57F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Оплата работ и услуг по очистке пляжей, используемых</w:t>
      </w:r>
      <w:r>
        <w:rPr>
          <w:rFonts w:ascii="Times New Roman" w:hAnsi="Times New Roman"/>
          <w:sz w:val="28"/>
        </w:rPr>
        <w:t xml:space="preserve"> для предпринимательской деятельности.</w:t>
      </w:r>
    </w:p>
    <w:p w:rsidR="00B07E03" w:rsidRDefault="009B57F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8.6. 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: от 3 (трех) до 24 (двадцати четырех) месяцев (включительно) </w:t>
      </w:r>
      <w:proofErr w:type="gramStart"/>
      <w:r>
        <w:rPr>
          <w:rFonts w:ascii="Times New Roman" w:hAnsi="Times New Roman"/>
          <w:sz w:val="28"/>
        </w:rPr>
        <w:t>с даты перечисления</w:t>
      </w:r>
      <w:proofErr w:type="gramEnd"/>
      <w:r>
        <w:rPr>
          <w:rFonts w:ascii="Times New Roman" w:hAnsi="Times New Roman"/>
          <w:sz w:val="28"/>
        </w:rPr>
        <w:t xml:space="preserve"> денежных средств на расчетный счет Заемщика.</w:t>
      </w:r>
    </w:p>
    <w:p w:rsidR="00B07E03" w:rsidRDefault="009B57F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8.6.1.   </w:t>
      </w:r>
      <w:proofErr w:type="gramStart"/>
      <w:r>
        <w:rPr>
          <w:rFonts w:ascii="Times New Roman" w:hAnsi="Times New Roman"/>
          <w:sz w:val="28"/>
        </w:rPr>
        <w:t xml:space="preserve"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</w:t>
      </w:r>
      <w:r>
        <w:rPr>
          <w:rFonts w:ascii="Times New Roman" w:hAnsi="Times New Roman"/>
          <w:sz w:val="28"/>
        </w:rPr>
        <w:lastRenderedPageBreak/>
        <w:t xml:space="preserve">чрезвычайного 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</w:t>
      </w:r>
      <w:r>
        <w:rPr>
          <w:rFonts w:ascii="Times New Roman" w:hAnsi="Times New Roman"/>
          <w:sz w:val="28"/>
        </w:rPr>
        <w:t>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</w:t>
      </w:r>
      <w:r>
        <w:rPr>
          <w:rFonts w:ascii="Times New Roman" w:hAnsi="Times New Roman"/>
          <w:sz w:val="28"/>
        </w:rPr>
        <w:t xml:space="preserve">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</w:t>
      </w:r>
      <w:r>
        <w:rPr>
          <w:rFonts w:ascii="Times New Roman" w:hAnsi="Times New Roman"/>
          <w:sz w:val="28"/>
        </w:rPr>
        <w:t xml:space="preserve">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пункта 2 Требований.  </w:t>
      </w:r>
      <w:proofErr w:type="gramEnd"/>
    </w:p>
    <w:p w:rsidR="00B07E03" w:rsidRDefault="009B57F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8.6.2. </w:t>
      </w:r>
      <w:proofErr w:type="gramStart"/>
      <w:r>
        <w:rPr>
          <w:rFonts w:ascii="Times New Roman" w:hAnsi="Times New Roman"/>
          <w:sz w:val="28"/>
        </w:rPr>
        <w:t>В случае призыва заемщика на военную службу по м</w:t>
      </w:r>
      <w:r>
        <w:rPr>
          <w:rFonts w:ascii="Times New Roman" w:hAnsi="Times New Roman"/>
          <w:sz w:val="28"/>
        </w:rPr>
        <w:t>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или прохождения заемщиком военной службы по контракту в Во</w:t>
      </w:r>
      <w:r>
        <w:rPr>
          <w:rFonts w:ascii="Times New Roman" w:hAnsi="Times New Roman"/>
          <w:sz w:val="28"/>
        </w:rPr>
        <w:t xml:space="preserve">оруженных 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по контракту:</w:t>
      </w:r>
    </w:p>
    <w:p w:rsidR="00B07E03" w:rsidRDefault="009B57F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</w:t>
      </w:r>
      <w:r>
        <w:rPr>
          <w:rFonts w:ascii="Times New Roman" w:hAnsi="Times New Roman"/>
          <w:sz w:val="28"/>
        </w:rPr>
        <w:t>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B07E03" w:rsidRDefault="009B57F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B07E03" w:rsidRDefault="009B57F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8.7. Сумма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составляет от 100 000 (ста тысяч) рублей до 5 000 000 </w:t>
      </w:r>
      <w:r>
        <w:rPr>
          <w:rFonts w:ascii="Times New Roman" w:hAnsi="Times New Roman"/>
          <w:sz w:val="28"/>
        </w:rPr>
        <w:t xml:space="preserve">(пяти миллионов) рублей (включительно) и определяется Комиссией по предоставлению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с учетом критериев нуждаемости в </w:t>
      </w:r>
      <w:proofErr w:type="spellStart"/>
      <w:r>
        <w:rPr>
          <w:rFonts w:ascii="Times New Roman" w:hAnsi="Times New Roman"/>
          <w:sz w:val="28"/>
        </w:rPr>
        <w:t>микрозайме</w:t>
      </w:r>
      <w:proofErr w:type="spellEnd"/>
      <w:r>
        <w:rPr>
          <w:rFonts w:ascii="Times New Roman" w:hAnsi="Times New Roman"/>
          <w:sz w:val="28"/>
        </w:rPr>
        <w:t>, установленных Методикой оценки кредитоспособности.</w:t>
      </w:r>
      <w:r>
        <w:rPr>
          <w:rFonts w:ascii="Times New Roman" w:hAnsi="Times New Roman"/>
          <w:sz w:val="28"/>
        </w:rPr>
        <w:t xml:space="preserve">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Заявитель осуществляет хозяйственную деятельность в</w:t>
      </w:r>
      <w:r>
        <w:rPr>
          <w:rFonts w:ascii="Times New Roman" w:hAnsi="Times New Roman"/>
          <w:sz w:val="28"/>
        </w:rPr>
        <w:t xml:space="preserve"> нескольких субъектах Российской Федерации и перечисляет налоги в бюджеты данных субъектов, размер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определяется с учетом доли налоговой базы (%),  указанной в налоговой декларации, с которой предприниматель платит налоги в бюджет Краснодарского </w:t>
      </w:r>
      <w:r>
        <w:rPr>
          <w:rFonts w:ascii="Times New Roman" w:hAnsi="Times New Roman"/>
          <w:sz w:val="28"/>
        </w:rPr>
        <w:t>края.</w:t>
      </w:r>
    </w:p>
    <w:p w:rsidR="00B07E03" w:rsidRDefault="009B57F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8.8. Процентная ставка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составляет 0,1 %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B07E03" w:rsidRDefault="009B57F4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8.8.1. В случае изменения ключевой ставки Банка России Фонд вправе пересмотреть процентную ставку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в соответствии с Требованиями.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8.9. В графике возврата суммы и уплаты про</w:t>
      </w:r>
      <w:r>
        <w:rPr>
          <w:rFonts w:ascii="Times New Roman" w:hAnsi="Times New Roman"/>
          <w:sz w:val="28"/>
        </w:rPr>
        <w:t xml:space="preserve">центов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применяется дифференцированная система платежа (от фактической ссудной задолженности). 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8.10. Возврат основной суммы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 равными частями.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8.11. Срок возврата средств по Договору займа не должен превышат</w:t>
      </w:r>
      <w:r>
        <w:rPr>
          <w:rFonts w:ascii="Times New Roman" w:hAnsi="Times New Roman"/>
          <w:sz w:val="28"/>
        </w:rPr>
        <w:t>ь                     24 (двадцать четыре) месяца.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8.11.1. 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</w:t>
      </w:r>
      <w:r>
        <w:rPr>
          <w:rFonts w:ascii="Times New Roman" w:hAnsi="Times New Roman"/>
          <w:sz w:val="28"/>
        </w:rPr>
        <w:t xml:space="preserve">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</w:t>
      </w:r>
      <w:r>
        <w:rPr>
          <w:rFonts w:ascii="Times New Roman" w:hAnsi="Times New Roman"/>
          <w:sz w:val="28"/>
        </w:rPr>
        <w:t xml:space="preserve"> угроз жизни и здоровью людей,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</w:t>
      </w:r>
      <w:r>
        <w:rPr>
          <w:rFonts w:ascii="Times New Roman" w:hAnsi="Times New Roman"/>
          <w:sz w:val="28"/>
        </w:rPr>
        <w:t xml:space="preserve">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пункта 2 Требований.  </w:t>
      </w:r>
      <w:proofErr w:type="gramEnd"/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</w:t>
      </w:r>
      <w:r>
        <w:rPr>
          <w:rFonts w:ascii="Times New Roman" w:hAnsi="Times New Roman"/>
          <w:sz w:val="28"/>
        </w:rPr>
        <w:t xml:space="preserve">1.2. </w:t>
      </w:r>
      <w:proofErr w:type="gramStart"/>
      <w:r>
        <w:rPr>
          <w:rFonts w:ascii="Times New Roman" w:hAnsi="Times New Roman"/>
          <w:sz w:val="28"/>
        </w:rPr>
        <w:t>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или п</w:t>
      </w:r>
      <w:r>
        <w:rPr>
          <w:rFonts w:ascii="Times New Roman" w:hAnsi="Times New Roman"/>
          <w:sz w:val="28"/>
        </w:rPr>
        <w:t xml:space="preserve">рохождения заемщиком военной службы по контракту в Вооруженных 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</w:t>
      </w:r>
      <w:r>
        <w:rPr>
          <w:rFonts w:ascii="Times New Roman" w:hAnsi="Times New Roman"/>
          <w:sz w:val="28"/>
        </w:rPr>
        <w:t>рохождения военной службы по контракту: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8.12. Уплата процентов за </w:t>
      </w:r>
      <w:r>
        <w:rPr>
          <w:rFonts w:ascii="Times New Roman" w:hAnsi="Times New Roman"/>
          <w:sz w:val="28"/>
        </w:rPr>
        <w:t xml:space="preserve">пользование </w:t>
      </w:r>
      <w:proofErr w:type="spellStart"/>
      <w:r>
        <w:rPr>
          <w:rFonts w:ascii="Times New Roman" w:hAnsi="Times New Roman"/>
          <w:sz w:val="28"/>
        </w:rPr>
        <w:t>Микрозаймом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ежемесячно, </w:t>
      </w:r>
      <w:proofErr w:type="gramStart"/>
      <w:r>
        <w:rPr>
          <w:rFonts w:ascii="Times New Roman" w:hAnsi="Times New Roman"/>
          <w:sz w:val="28"/>
        </w:rPr>
        <w:t>согласно графика</w:t>
      </w:r>
      <w:proofErr w:type="gramEnd"/>
      <w:r>
        <w:rPr>
          <w:rFonts w:ascii="Times New Roman" w:hAnsi="Times New Roman"/>
          <w:sz w:val="28"/>
        </w:rPr>
        <w:t xml:space="preserve"> (от фактической ссудной задолженности).</w:t>
      </w:r>
    </w:p>
    <w:p w:rsidR="00B07E03" w:rsidRDefault="009B57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8.13. При предоставлении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t xml:space="preserve"> </w:t>
      </w:r>
      <w:r>
        <w:rPr>
          <w:rFonts w:ascii="Times New Roman" w:hAnsi="Times New Roman"/>
          <w:sz w:val="28"/>
        </w:rPr>
        <w:t>более чем на</w:t>
      </w:r>
      <w:r>
        <w:rPr>
          <w:rFonts w:ascii="Times New Roman" w:hAnsi="Times New Roman"/>
          <w:sz w:val="28"/>
        </w:rPr>
        <w:t xml:space="preserve"> 16 месяцев, по заявлению Заёмщика может устанавливаться льготный период по возврату основной суммы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до 12 месяцев. Окончательный срок л</w:t>
      </w:r>
      <w:r>
        <w:rPr>
          <w:rFonts w:ascii="Times New Roman" w:hAnsi="Times New Roman"/>
          <w:sz w:val="28"/>
        </w:rPr>
        <w:t xml:space="preserve">ьготного периода по возврату основной суммы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устанавливается Комиссией по предоставлению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>.</w:t>
      </w:r>
      <w:r>
        <w:t xml:space="preserve"> </w:t>
      </w:r>
    </w:p>
    <w:p w:rsidR="00B07E03" w:rsidRDefault="009B57F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8.14.  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от 100 000 (ста тысяч) рублей до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(в</w:t>
      </w:r>
      <w:r>
        <w:rPr>
          <w:rFonts w:ascii="Times New Roman" w:hAnsi="Times New Roman"/>
          <w:sz w:val="28"/>
        </w:rPr>
        <w:t xml:space="preserve">ключительно) предоставляется под залог имущества Заемщика и/или третьего лица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Фондом. </w:t>
      </w:r>
    </w:p>
    <w:p w:rsidR="00B07E03" w:rsidRDefault="009B57F4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</w:rPr>
        <w:t>При этом совокупная сумма задолженности по действующим займам, выданным под обеспечение, указанное в абзаце</w:t>
      </w:r>
      <w:r>
        <w:rPr>
          <w:rFonts w:ascii="Times New Roman" w:hAnsi="Times New Roman"/>
          <w:sz w:val="28"/>
        </w:rPr>
        <w:t xml:space="preserve"> первом данного пункта и размером испрашиваемого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не должна превышать 1 000 000 (один миллион) рублей.</w:t>
      </w:r>
    </w:p>
    <w:p w:rsidR="00B07E03" w:rsidRDefault="009B57F4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>Необходимость привлечения поручителей,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07E03" w:rsidRDefault="009B57F4">
      <w:pPr>
        <w:overflowPunct w:val="0"/>
        <w:ind w:firstLine="567"/>
        <w:jc w:val="both"/>
      </w:pPr>
      <w:proofErr w:type="spellStart"/>
      <w:proofErr w:type="gram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более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и до 5 000 000 (пяти миллионов) рублей (включительно) предоставляется под залог имущества Заемщика и/или третьего лица,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 и п</w:t>
      </w:r>
      <w:r>
        <w:rPr>
          <w:rFonts w:ascii="Times New Roman" w:hAnsi="Times New Roman"/>
          <w:sz w:val="28"/>
        </w:rPr>
        <w:t>оручительство физического и/или юридического лица в обеспечение своевременного и полного исполнения обязательств по Договору займа.</w:t>
      </w:r>
      <w:proofErr w:type="gramEnd"/>
    </w:p>
    <w:p w:rsidR="00B07E03" w:rsidRDefault="009B57F4">
      <w:pPr>
        <w:overflowPunct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</w:t>
      </w:r>
      <w:r>
        <w:rPr>
          <w:rFonts w:ascii="Times New Roman" w:hAnsi="Times New Roman"/>
          <w:sz w:val="28"/>
        </w:rPr>
        <w:t xml:space="preserve">я, согласно разделу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Фондом.  В  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</w:t>
      </w:r>
    </w:p>
    <w:sectPr w:rsidR="00B07E03" w:rsidSect="00B07E03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0"/>
  <w:characterSpacingControl w:val="doNotCompress"/>
  <w:compat/>
  <w:rsids>
    <w:rsidRoot w:val="00B07E03"/>
    <w:rsid w:val="009B57F4"/>
    <w:rsid w:val="00B0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B07E03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B07E03"/>
    <w:pPr>
      <w:spacing w:after="140" w:line="276" w:lineRule="auto"/>
    </w:pPr>
  </w:style>
  <w:style w:type="paragraph" w:styleId="ae">
    <w:name w:val="List"/>
    <w:basedOn w:val="ad"/>
    <w:rsid w:val="00B07E03"/>
    <w:rPr>
      <w:rFonts w:ascii="PT Astra Serif" w:hAnsi="PT Astra Serif" w:cs="FreeSans"/>
    </w:rPr>
  </w:style>
  <w:style w:type="paragraph" w:styleId="af">
    <w:name w:val="caption"/>
    <w:basedOn w:val="a"/>
    <w:qFormat/>
    <w:rsid w:val="00B07E03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B07E03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B07E03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B07E03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user1">
    <w:name w:val="Без списка (user)"/>
    <w:uiPriority w:val="99"/>
    <w:semiHidden/>
    <w:unhideWhenUsed/>
    <w:qFormat/>
    <w:rsid w:val="00B07E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04DFCCD05883F2B19D5B2455A064E8C7791F65E18EB872BA1644C1FEC5738B77A3DA7D797C4625E980B18273154973F3FD2180AD92413F7FC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2044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2026-04-24T09:47:00Z</dcterms:created>
  <dcterms:modified xsi:type="dcterms:W3CDTF">2026-04-24T09:47:00Z</dcterms:modified>
  <dc:language>ru-RU</dc:language>
</cp:coreProperties>
</file>