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F6" w:rsidRDefault="000C4BC0">
      <w:pPr>
        <w:ind w:left="109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Микрозайм для действующих субъектов малого и среднего предпринимательства, организаций, образующих  инфраструктуры поддержки малого и среднего предпринимательства «Беззалоговый Фермер»</w:t>
      </w:r>
    </w:p>
    <w:p w:rsidR="000634F6" w:rsidRDefault="000634F6">
      <w:pPr>
        <w:pStyle w:val="af1"/>
        <w:ind w:left="517"/>
        <w:jc w:val="center"/>
        <w:rPr>
          <w:b/>
          <w:sz w:val="28"/>
          <w:szCs w:val="28"/>
        </w:rPr>
      </w:pPr>
    </w:p>
    <w:p w:rsidR="000634F6" w:rsidRDefault="000C4BC0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21.1. Условия предоставления Микрозайма для действующих субъектов </w:t>
      </w:r>
      <w:r>
        <w:rPr>
          <w:rFonts w:ascii="Times New Roman" w:hAnsi="Times New Roman"/>
          <w:sz w:val="28"/>
          <w:szCs w:val="28"/>
        </w:rPr>
        <w:t>малого и среднего предпринимательства, организаций инфраструктуры поддержки малого и среднего предпринимательства: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21.1.1. Заявление на предоставление Микрозайма «Беззалоговый» подлежит рассмотрению при соблюдении следующих условий: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заявитель осуществляе</w:t>
      </w:r>
      <w:r>
        <w:rPr>
          <w:rFonts w:ascii="Times New Roman" w:hAnsi="Times New Roman"/>
          <w:sz w:val="28"/>
          <w:szCs w:val="28"/>
        </w:rPr>
        <w:t>т предпринимательскую (хозяйственную) деятельность в сфере производства, переработки, хранения, сельскохозяйственной продукции и/или иных услуг, связанных с предпринимательской (хозяйственной) деятельностью производителей сельскохозяйственной продукции и р</w:t>
      </w:r>
      <w:r>
        <w:rPr>
          <w:rFonts w:ascii="Times New Roman" w:hAnsi="Times New Roman"/>
          <w:sz w:val="28"/>
          <w:szCs w:val="28"/>
        </w:rPr>
        <w:t>анее получал займы «Фермер».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одновременном рассмотрении Комиссией по предоставлению микрозаймов заявления о предоставлении Микрозайма «Фермер». 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Субъекты малого и среднего предпринимательства, организации инфраструктуры поддержки малого и среднего пр</w:t>
      </w:r>
      <w:r>
        <w:rPr>
          <w:rFonts w:ascii="Times New Roman" w:hAnsi="Times New Roman"/>
          <w:sz w:val="28"/>
          <w:szCs w:val="28"/>
        </w:rPr>
        <w:t>едпринимательства, осуществляющие производство и (или) реализацию подакцизных товаров, относятся к категории «Подакцизный».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21.1.2. На момент обращения с Заявлением Заявителю: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необходимо быть зарегистрированным в налоговом органе на территории Краснодар</w:t>
      </w:r>
      <w:r>
        <w:rPr>
          <w:rFonts w:ascii="Times New Roman" w:hAnsi="Times New Roman"/>
          <w:sz w:val="28"/>
          <w:szCs w:val="28"/>
        </w:rPr>
        <w:t>ского края в установленном законом порядке в качестве юридического лица или физического лица, осуществляющего предпринимательскую деятельность без образования юридического лица (поставленным на учет в налоговом органе на территории Краснодарского края);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обязан осуществлять предпринимательскую (хозяйственную) деятельность не менее 12 (двенадцати) месяцев по состоянию на дату подачи (регистрации) Заявления;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получения денежных средств, необходимо наличие действующего расчетного счета в кредитной органи</w:t>
      </w:r>
      <w:r>
        <w:rPr>
          <w:rFonts w:ascii="Times New Roman" w:hAnsi="Times New Roman"/>
          <w:sz w:val="28"/>
          <w:szCs w:val="28"/>
        </w:rPr>
        <w:t>зации;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необходимо иметь положительную кредитную историю (п. 3.1.5 Правил Фонда), а срок пользования ранее предоставленным Фондом Микрозаймом (микрозаймами), за последние 36 месяцев, должен составлять совокупно не менее 12 (двенадцати) месяцев по состояни</w:t>
      </w:r>
      <w:r>
        <w:rPr>
          <w:rFonts w:ascii="Times New Roman" w:hAnsi="Times New Roman"/>
          <w:sz w:val="28"/>
          <w:szCs w:val="28"/>
        </w:rPr>
        <w:t>ю на дату подачи (регистрации) Заявления;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иметь нарушений по выполнению обязанности по предоставлению документов, подтверждающих целевое использование ранее выданному(-ым) Фондом займом (-ами).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21.2. Микрозайм предоставляется на цели: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соответствующи</w:t>
      </w:r>
      <w:r>
        <w:rPr>
          <w:rFonts w:ascii="Times New Roman" w:hAnsi="Times New Roman"/>
          <w:sz w:val="28"/>
          <w:szCs w:val="28"/>
        </w:rPr>
        <w:t>е целям Микрозайма «Фермер» заявление на предоставление которого должно быть рассмотрено на Комиссии по предоставлению микрозаймов одновременно с заявлением на микрозайм «Беззалоговый Фермер». В случае отказа в предоставлении Микрозайма «Фермер», заявление</w:t>
      </w:r>
      <w:r>
        <w:rPr>
          <w:rFonts w:ascii="Times New Roman" w:hAnsi="Times New Roman"/>
          <w:sz w:val="28"/>
          <w:szCs w:val="28"/>
        </w:rPr>
        <w:t xml:space="preserve"> на предоставление которого было подано в Фонд, Микрозайм «Беззалоговый Фермер» также не предоставляется.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21.3. Срок предоставления Микрозайма - не должен превышать срок Микрозайма «Фермер», заявление на предоставление которого должно быть рассмотрено на К</w:t>
      </w:r>
      <w:r>
        <w:rPr>
          <w:rFonts w:ascii="Times New Roman" w:hAnsi="Times New Roman"/>
          <w:sz w:val="28"/>
          <w:szCs w:val="28"/>
        </w:rPr>
        <w:t xml:space="preserve">омиссии по предоставлению микрозаймов одновременно с заявлением на Микрозайм «Беззалоговый Фермер» с даты перечисления денежных средств на расчетный счет Заемщика. 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21.3.1.  При введении на всей территории Российской Федерации, территории субъекта Российск</w:t>
      </w:r>
      <w:r>
        <w:rPr>
          <w:rFonts w:ascii="Times New Roman" w:hAnsi="Times New Roman"/>
          <w:sz w:val="28"/>
          <w:szCs w:val="28"/>
        </w:rPr>
        <w:t>ой Федерации, муниципального образования режимов повышенной готовности или чрезвычайной ситуации, чрезвычайного положения, военного положения, правового режима контртеррористической операции, а также иных режимов, связанных с ведением боевых действий и (ил</w:t>
      </w:r>
      <w:r>
        <w:rPr>
          <w:rFonts w:ascii="Times New Roman" w:hAnsi="Times New Roman"/>
          <w:sz w:val="28"/>
          <w:szCs w:val="28"/>
        </w:rPr>
        <w:t xml:space="preserve">и) направленных на отражение или предотвращение ведения боевых действий против Российской Федерации и устранением угроз жизни и здоровью людей, максимальный срок предоставления микрозайма для субъектов малого и среднего предпринимательства, осуществляющих </w:t>
      </w:r>
      <w:r>
        <w:rPr>
          <w:rFonts w:ascii="Times New Roman" w:hAnsi="Times New Roman"/>
          <w:sz w:val="28"/>
          <w:szCs w:val="28"/>
        </w:rPr>
        <w:t>деятельность на таких территориях и признанных департаментом развития бизнеса и внешнеэкономической деятельности Краснодарского края пострадавшими, по действующим на дату введения одного из указанных режимов и предоставляемым в период действия одного из ук</w:t>
      </w:r>
      <w:r>
        <w:rPr>
          <w:rFonts w:ascii="Times New Roman" w:hAnsi="Times New Roman"/>
          <w:sz w:val="28"/>
          <w:szCs w:val="28"/>
        </w:rPr>
        <w:t xml:space="preserve">азанных режимов микрозаймам может быть увеличен с учетом требований подпункта  2.7.1.  пункта 2 Требований.  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21.3.2. В случае призыва заемщика на военную службу по мобилизации в Вооруженные Силы Российской Федерации в соответствии с Указом Президента Росс</w:t>
      </w:r>
      <w:r>
        <w:rPr>
          <w:rFonts w:ascii="Times New Roman" w:hAnsi="Times New Roman"/>
          <w:sz w:val="28"/>
          <w:szCs w:val="28"/>
        </w:rPr>
        <w:t>ийской Федерации от 21 сентября 2022 г. № 647 «Об объявлении частичной мобилизации в Российской Федерации»  или прохождения заемщиком военной службы по контракту в Вооруженных Силах Российской Федерации, заключенному с 2022 года, максимальный срок предоста</w:t>
      </w:r>
      <w:r>
        <w:rPr>
          <w:rFonts w:ascii="Times New Roman" w:hAnsi="Times New Roman"/>
          <w:sz w:val="28"/>
          <w:szCs w:val="28"/>
        </w:rPr>
        <w:t>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контракту: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 микрозаймам, действующим на дату призыва заемщика на военную службу по мобилизации;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микроза</w:t>
      </w:r>
      <w:r>
        <w:rPr>
          <w:rFonts w:ascii="Times New Roman" w:hAnsi="Times New Roman"/>
          <w:sz w:val="28"/>
          <w:szCs w:val="28"/>
        </w:rPr>
        <w:t>ймам, действующим на дату подписания заемщиком контракта о прохождении военной службы.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21.4. Сумма Микрозайма: 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от 100 000 (ста тысяч) рублей до 1 500 000 (одного миллиона пятисот тысяч) рублей (включительно). В случае, если Заявитель осуществляет хозяй</w:t>
      </w:r>
      <w:r>
        <w:rPr>
          <w:rFonts w:ascii="Times New Roman" w:hAnsi="Times New Roman"/>
          <w:sz w:val="28"/>
          <w:szCs w:val="28"/>
        </w:rPr>
        <w:t>ственную деятельность в нескольких субъектах Российской Федерации и перечисляет налоги в бюджеты данных субъектов, размер микрозайма определяется с учетом доли налоговой базы (%),  указанной в налоговой декларации, с которой предприниматель платит налоги в</w:t>
      </w:r>
      <w:r>
        <w:rPr>
          <w:rFonts w:ascii="Times New Roman" w:hAnsi="Times New Roman"/>
          <w:sz w:val="28"/>
          <w:szCs w:val="28"/>
        </w:rPr>
        <w:t xml:space="preserve"> бюджет Краснодарского края.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21.5. Процентная ставка по Микрозайму составляет </w:t>
      </w:r>
      <w:bookmarkStart w:id="0" w:name="__DdeLink__8811_1564762454_Копия_1"/>
      <w:bookmarkStart w:id="1" w:name="__DdeLink__8874_1564762454_Копия_1"/>
      <w:r>
        <w:rPr>
          <w:rFonts w:ascii="Times New Roman" w:hAnsi="Times New Roman"/>
          <w:sz w:val="28"/>
          <w:szCs w:val="28"/>
        </w:rPr>
        <w:t xml:space="preserve">12 </w:t>
      </w:r>
      <w:bookmarkStart w:id="2" w:name="__DdeLink__27478_3791888744_Копия_1"/>
      <w:bookmarkEnd w:id="0"/>
      <w:r>
        <w:rPr>
          <w:rFonts w:ascii="Times New Roman" w:hAnsi="Times New Roman"/>
          <w:sz w:val="28"/>
          <w:szCs w:val="28"/>
        </w:rPr>
        <w:t>% годовых.</w:t>
      </w:r>
      <w:bookmarkEnd w:id="1"/>
      <w:bookmarkEnd w:id="2"/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21.5.1. В случае изменения ключевой ставки Банка России Фонд вправе пересмотреть процентную ставку по микрозайму в соответствии с Требованиями.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21.6. В графике возв</w:t>
      </w:r>
      <w:r>
        <w:rPr>
          <w:rFonts w:ascii="Times New Roman" w:hAnsi="Times New Roman"/>
          <w:sz w:val="28"/>
          <w:szCs w:val="28"/>
        </w:rPr>
        <w:t>рата суммы и уплаты процентов по Микрозайму применяется дифференцированная система платежа.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21.7. Уплата процентов за пользование Микрозаймом осуществляется ежемесячно, согласно графика (от фактической ссудной задолженности).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21.8. При предоставлении Микрозайма более чем на 12 (двенадцать) месяцев, по заявлению Заемщика может устанавливаться льготный период по возврату основной суммы Микрозайма в случае, если указанный льготный период предусмотрен в Микрозайме «Фермер», заявлен</w:t>
      </w:r>
      <w:r>
        <w:rPr>
          <w:rFonts w:ascii="Times New Roman" w:hAnsi="Times New Roman"/>
          <w:sz w:val="28"/>
          <w:szCs w:val="28"/>
        </w:rPr>
        <w:t>ие на предоставление которого должно быть рассмотрено на Комиссии по предоставлению микрозаймов одновременно с заявлением на Микрозайм «Беззалоговый Фермер». Срок льготного периода по Микрозайму не может превышать срок льготного периода Микрозайма «Фермер»</w:t>
      </w:r>
      <w:r>
        <w:rPr>
          <w:rFonts w:ascii="Times New Roman" w:hAnsi="Times New Roman"/>
          <w:sz w:val="28"/>
          <w:szCs w:val="28"/>
        </w:rPr>
        <w:t xml:space="preserve">, заявление на предоставление которого должно быть рассмотрено на Комиссии по предоставлению микрозаймов одновременно с заявлением на Микрозайм «Беззалоговый Фермер». </w:t>
      </w:r>
    </w:p>
    <w:p w:rsidR="000634F6" w:rsidRDefault="000C4B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21.9. В целях обеспечения своевременного и полного исполнения обязательств по договору з</w:t>
      </w:r>
      <w:r>
        <w:rPr>
          <w:rFonts w:ascii="Times New Roman" w:hAnsi="Times New Roman"/>
          <w:sz w:val="28"/>
          <w:szCs w:val="28"/>
        </w:rPr>
        <w:t>айма Микрозайм предоставляется под поручительство физического или юридического лица в соответствии с разделом 9 Правил Фонда.</w:t>
      </w:r>
    </w:p>
    <w:sectPr w:rsidR="000634F6" w:rsidSect="000634F6">
      <w:pgSz w:w="11906" w:h="16838"/>
      <w:pgMar w:top="1134" w:right="850" w:bottom="1134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0"/>
  <w:characterSpacingControl w:val="doNotCompress"/>
  <w:compat/>
  <w:rsids>
    <w:rsidRoot w:val="000634F6"/>
    <w:rsid w:val="000634F6"/>
    <w:rsid w:val="000C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B163A"/>
    <w:pPr>
      <w:spacing w:after="160" w:line="259" w:lineRule="auto"/>
    </w:pPr>
    <w:rPr>
      <w:rFonts w:ascii="Calibri" w:eastAsia="Times New Roman" w:hAnsi="Calibri" w:cs="Times New Roman"/>
      <w:color w:val="000000"/>
      <w:kern w:val="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A4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AA4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A4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A4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A4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A4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A4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A4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A4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A4707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AA470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A4707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AA4707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AA4707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AA470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qFormat/>
    <w:rsid w:val="001B163A"/>
  </w:style>
  <w:style w:type="character" w:styleId="ab">
    <w:name w:val="Hyperlink"/>
    <w:basedOn w:val="a0"/>
    <w:link w:val="12"/>
    <w:rsid w:val="001B163A"/>
    <w:rPr>
      <w:rFonts w:eastAsia="Times New Roman" w:cs="Times New Roman"/>
      <w:color w:val="0000FF"/>
      <w:kern w:val="0"/>
      <w:szCs w:val="20"/>
      <w:u w:val="single"/>
      <w:lang w:eastAsia="ru-RU"/>
    </w:rPr>
  </w:style>
  <w:style w:type="paragraph" w:customStyle="1" w:styleId="ac">
    <w:name w:val="Заголовок"/>
    <w:basedOn w:val="a"/>
    <w:next w:val="ad"/>
    <w:qFormat/>
    <w:rsid w:val="000634F6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rsid w:val="000634F6"/>
    <w:pPr>
      <w:spacing w:after="140" w:line="276" w:lineRule="auto"/>
    </w:pPr>
  </w:style>
  <w:style w:type="paragraph" w:styleId="ae">
    <w:name w:val="List"/>
    <w:basedOn w:val="ad"/>
    <w:rsid w:val="000634F6"/>
    <w:rPr>
      <w:rFonts w:ascii="PT Astra Serif" w:hAnsi="PT Astra Serif" w:cs="FreeSans"/>
    </w:rPr>
  </w:style>
  <w:style w:type="paragraph" w:styleId="af">
    <w:name w:val="caption"/>
    <w:basedOn w:val="a"/>
    <w:qFormat/>
    <w:rsid w:val="000634F6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rsid w:val="000634F6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rsid w:val="000634F6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0634F6"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AA4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AA4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A4707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AA4707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AA4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12">
    <w:name w:val="Гиперссылка1"/>
    <w:basedOn w:val="a"/>
    <w:link w:val="ab"/>
    <w:qFormat/>
    <w:rsid w:val="001B163A"/>
    <w:rPr>
      <w:color w:val="0000FF"/>
      <w:u w:val="single"/>
    </w:rPr>
  </w:style>
  <w:style w:type="numbering" w:customStyle="1" w:styleId="af2">
    <w:name w:val="Без списка"/>
    <w:uiPriority w:val="99"/>
    <w:semiHidden/>
    <w:unhideWhenUsed/>
    <w:qFormat/>
    <w:rsid w:val="000634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Ивченко Ирина Александровна</dc:creator>
  <cp:lastModifiedBy>Econ</cp:lastModifiedBy>
  <cp:revision>2</cp:revision>
  <dcterms:created xsi:type="dcterms:W3CDTF">2026-04-24T12:18:00Z</dcterms:created>
  <dcterms:modified xsi:type="dcterms:W3CDTF">2026-04-24T12:18:00Z</dcterms:modified>
  <dc:language>ru-RU</dc:language>
</cp:coreProperties>
</file>