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Микрозайм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«НовоТех»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Условия предоставления Микрозайма для действующих субъектов малого и среднего предпринимательства, организаций, образующих инфраструктуру поддержки субъектов малого и среднего предпринимательства на территории Краснодарского края: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5.1.1. На момент обращения с Заявлением Заявителю(-ь):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обязан осуществлять предпринимательскую (хозяйственную) деятельность не менее 6 (шести) месяцев по состоянию на дату подачи (регистрации)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учет в налоговом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должен предоставить Бизнес-план по форме, утвержденной Фондом.</w:t>
      </w:r>
    </w:p>
    <w:p>
      <w:pPr>
        <w:pStyle w:val="Normal"/>
        <w:spacing w:lineRule="auto" w:line="240" w:before="0" w:after="0"/>
        <w:ind w:firstLine="709"/>
        <w:jc w:val="both"/>
        <w:rPr>
          <w:strike w:val="false"/>
          <w:dstrike w:val="false"/>
          <w:highlight w:val="none"/>
          <w:shd w:fill="auto" w:val="clear"/>
        </w:rPr>
      </w:pPr>
      <w:r>
        <w:rPr>
          <w:rFonts w:ascii="Times New Roman" w:hAnsi="Times New Roman"/>
          <w:strike w:val="false"/>
          <w:dstrike w:val="false"/>
          <w:sz w:val="28"/>
          <w:shd w:fill="auto" w:val="clear"/>
        </w:rPr>
        <w:t>- для получения денежных средств, необходимо наличие действующего расчетного счета в кредитной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5.1.2. В случае принятия положительного решения о предоставлении Микрозайма, Заявителю необходимо оплатить авансовый платеж в размере не менее 20% от общей суммы по договору купли-продажи техники, транспортного средства и/или оборудования, за счет собственных средств в денежной форме или предоставить в Фонд подтверждение оплаты авансового платежа, осуществленное до принятия положительного решения о предоставлении Микрозайма, где подтверждением оплаты является кассовый чек и/или платежное поручение с отметкой кредитной организации о произведенной оплате. Порядок оплаты аванса отражается в договоре купли-продажи по форме Фонда (Приложение № 1 к Правилам</w:t>
      </w:r>
      <w:r>
        <w:rPr/>
        <w:t xml:space="preserve"> </w:t>
      </w:r>
      <w:r>
        <w:rPr>
          <w:rFonts w:ascii="Times New Roman" w:hAnsi="Times New Roman"/>
          <w:sz w:val="28"/>
        </w:rPr>
        <w:t>предоставления микрозаймов Фондом) или по форме Поставщика, согласованной с Фондом.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5.1.3. Субъекты малого и среднего предпринимательства, организации, образующие инфраструктуру поддержки малого и среднего предпринимательства, осуществляющие производство и (или) реализацию подакцизных товаров, относятся к категории «Подакцизный».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</w:t>
        <w:tab/>
        <w:t>Микрозайм предоставляется на цели: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Приобретение новых основных средств под их залог,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перерабатывающего, сельскохозяйственного оборудования (включая оборудование для содержания животных), а также оборудования для ремонта и технического обслуживания техники и автотранспорта, испытательные стенды, оборудования подъемно-транспортного, диагностического, специальных приспособлений, станков, оборудования для столовых, кафе и ресторанов, оборудования, используемого в сфере услуг, медицинского оборудования российского и импортного производства;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относящихся к вышеперечисленным;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легковых и грузовых автомобилей с типом транспортного средства «фургон», легковых автомобилей грузоподъемностью от 1000 кг с типом транспортного средства «пикап», «бортовой» и прицепов к ним для использования в предпринимательской 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новых основных средств, используемых для предпринимательской деятельности, под их залог;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5.3. Срок предоставления Микрозайма: от 3 (трех) до 36 (тридцати шести) месяцев (включительно) с даты перечисления денежных средств на расчетный счет Заемщика.</w:t>
      </w:r>
      <w:r>
        <w:rPr/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5.3.1. 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Сумма Микрозайма: от 100 000 (ста тысяч) до 5 000 000 (пяти миллионов) рублей (включительно).</w:t>
      </w:r>
      <w:r>
        <w:rPr>
          <w:rFonts w:ascii="Times New Roman" w:hAnsi="Times New Roman"/>
          <w:sz w:val="28"/>
          <w:shd w:fill="auto" w:val="clear"/>
        </w:rPr>
        <w:t>В случае,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5.5. Процентная ставка по Микрозайму равна</w:t>
      </w:r>
      <w:r>
        <w:rPr>
          <w:rFonts w:ascii="Times New Roman" w:hAnsi="Times New Roman"/>
          <w:sz w:val="28"/>
          <w:shd w:fill="auto" w:val="clear"/>
        </w:rPr>
        <w:t xml:space="preserve"> </w:t>
      </w:r>
      <w:bookmarkStart w:id="0" w:name="__DdeLink__27495_3791888744_Копия_1"/>
      <w:r>
        <w:rPr>
          <w:rFonts w:eastAsia="Times New Roman" w:cs="Times New Roman" w:ascii="Times New Roman" w:hAnsi="Times New Roman"/>
          <w:strike w:val="false"/>
          <w:dstrike w:val="false"/>
          <w:color w:themeColor="text1" w:val="000000"/>
          <w:kern w:val="0"/>
          <w:sz w:val="28"/>
          <w:szCs w:val="20"/>
          <w:shd w:fill="auto" w:val="clear"/>
          <w:lang w:val="ru-RU" w:eastAsia="ru-RU" w:bidi="ar-SA"/>
        </w:rPr>
        <w:t xml:space="preserve">12 % </w:t>
      </w:r>
      <w:r>
        <w:rPr>
          <w:rFonts w:ascii="Times New Roman" w:hAnsi="Times New Roman"/>
          <w:strike w:val="false"/>
          <w:dstrike w:val="false"/>
          <w:color w:themeColor="text1" w:val="000000"/>
          <w:sz w:val="28"/>
          <w:shd w:fill="auto" w:val="clear"/>
        </w:rPr>
        <w:t>годовых</w:t>
      </w:r>
      <w:bookmarkEnd w:id="0"/>
      <w:r>
        <w:rPr>
          <w:rFonts w:ascii="Times New Roman" w:hAnsi="Times New Roman"/>
          <w:color w:themeColor="text1" w:val="000000"/>
          <w:sz w:val="28"/>
          <w:shd w:fill="auto" w:val="clear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5.5.1.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В графике возврата суммы и уплаты процентов по Микрозайму применяется аннуитетная система платежа (от фактической ссудной задолженности).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Возврат Микрозайма осуществляется равными по сумме ежемесячными платежами, который включает в себя сумму начисленных процентов и сумму основного долга.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 Срок возврата средств по Договору займа не должен превышать 36 (тридцать шесть) месяцев.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5.8.1.  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5.9. Уплата процентов за пользование Микрозаймом осуществляется ежемесячно, согласно графику (от фактической ссудной задолженности).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5.10. Микрозайм в размере от 100 000 (ста тысяч) рублей до 1 000 000 (одного миллиона) рублей (включительно) предоставляется под залог приобретаемых основных средств Заемщиком, в соответствии с разделом 9 Правил предоставления микрозаймов Фондом.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совокупная сумма задолженности по действующим займам, выданным под обеспечение, указанное в абзаце первом данного пункта и размером испрашиваемого микрозайма не должна превышать 1 000 000 (один миллион) рублей.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firstLine="56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trike w:val="false"/>
          <w:dstrike w:val="false"/>
          <w:sz w:val="28"/>
          <w:szCs w:val="28"/>
          <w:shd w:fill="auto" w:val="clear"/>
        </w:rPr>
        <w:t xml:space="preserve"> (на основании решения Комиссии по предоставлению микрозаймов).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firstLine="56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Микрозайм в разм</w:t>
      </w:r>
      <w:r>
        <w:rPr>
          <w:rFonts w:ascii="Times New Roman" w:hAnsi="Times New Roman"/>
          <w:sz w:val="28"/>
        </w:rPr>
        <w:t>ере более 1 000 000 (одного миллиона) рублей и до 5 000 000 (пяти миллионов) рублей (включительно) предоставляется под залог приобретаемых основных средств Заемщиком,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обязательств по Договору займа.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1"/>
    <w:qFormat/>
    <w:rsid w:val="001b163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a470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a470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a470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a470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a470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a470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a470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a470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a470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a470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aa470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aa470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aa470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aa470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aa470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aa470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aa470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aa470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aa470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aa470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aa470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a470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aa470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a4707"/>
    <w:rPr>
      <w:b/>
      <w:bCs/>
      <w:smallCaps/>
      <w:color w:themeColor="accent1" w:themeShade="bf" w:val="2F5496"/>
      <w:spacing w:val="5"/>
    </w:rPr>
  </w:style>
  <w:style w:type="character" w:styleId="11" w:customStyle="1">
    <w:name w:val="Обычный1"/>
    <w:qFormat/>
    <w:rsid w:val="001b163a"/>
    <w:rPr/>
  </w:style>
  <w:style w:type="character" w:styleId="Hyperlink">
    <w:name w:val="Hyperlink"/>
    <w:basedOn w:val="DefaultParagraphFont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  <w14:ligatures w14:val="non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aa470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aa470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aa470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a470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12" w:customStyle="1">
    <w:name w:val="Гиперссылка1"/>
    <w:basedOn w:val="Normal"/>
    <w:qFormat/>
    <w:rsid w:val="001b163a"/>
    <w:pPr/>
    <w:rPr>
      <w:color w:val="0000FF"/>
      <w:u w:val="single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LibreOffice/25.2.3.2$Linux_X86_64 LibreOffice_project/520$Build-2</Application>
  <AppVersion>15.0000</AppVersion>
  <Pages>4</Pages>
  <Words>1162</Words>
  <Characters>8303</Characters>
  <CharactersWithSpaces>9450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2025-07-29T07:40:00Z</dcterms:created>
  <dc:creator>Ивченко Ирина Александровна</dc:creator>
  <dc:description/>
  <dc:language>ru-RU</dc:language>
  <cp:lastModifiedBy/>
  <dcterms:modified xsi:type="dcterms:W3CDTF">2026-02-05T08:59:26Z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